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332A" w:rsidRPr="0070332A" w:rsidTr="0070332A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0332A" w:rsidRPr="0070332A" w:rsidRDefault="0070332A" w:rsidP="0070332A">
            <w:pPr>
              <w:spacing w:after="300" w:line="240" w:lineRule="auto"/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</w:pPr>
            <w:r w:rsidRPr="0070332A"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  <w:t>ПАМЯТКА для родителей и педагогов «СНЮС – ПЕРВАЯ ПОМОЩЬ И ПРОФИЛАКТИКА»</w:t>
            </w:r>
          </w:p>
        </w:tc>
      </w:tr>
      <w:tr w:rsidR="0070332A" w:rsidRPr="0070332A" w:rsidTr="007033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332A" w:rsidRPr="0070332A" w:rsidRDefault="0070332A" w:rsidP="0070332A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Что такое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снюс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?</w:t>
            </w:r>
          </w:p>
          <w:p w:rsidR="0070332A" w:rsidRPr="0070332A" w:rsidRDefault="0070332A" w:rsidP="0070332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0332A">
              <w:rPr>
                <w:rFonts w:ascii="Times New Roman CYR" w:eastAsia="Times New Roman" w:hAnsi="Times New Roman CYR" w:cs="Tahoma"/>
                <w:b/>
                <w:bCs/>
                <w:color w:val="000000"/>
                <w:sz w:val="20"/>
                <w:szCs w:val="20"/>
                <w:lang w:eastAsia="ru-RU"/>
              </w:rPr>
              <w:t>Снюс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(или, как его называют в подростковой среде, </w:t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загубный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табак</w:t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») —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бездымный табачный продукт, который выпускается в разных формах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пакетиках, леденцах и др.) и применяется как сосательный табак.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в виде порционных пакетиков или рассыпчатого табака помещают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 xml:space="preserve">между десной и верхней (иногда нижней) губой на 5-30 минут для того, чтобы никотин всасывался в кровь и поступал в организм, минуя гортань и легкие. Употребление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, как и курение сигарет, направлено на поступление в организм никотина. Привыкание при приеме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возникает намного быстрее, практически молниеносно, и зависимость от никотина выражена в большей степени. В самой распространенной среди потребителей порции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содержится в 20-30 раз больше никотина, чем в сигарете. Именно поэтому зависимость от сосательного табака развивается быстрее и проявляется сильнее.</w:t>
            </w:r>
          </w:p>
          <w:p w:rsidR="0070332A" w:rsidRPr="0070332A" w:rsidRDefault="0070332A" w:rsidP="0070332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ahoma" w:eastAsia="Times New Roman" w:hAnsi="Tahoma" w:cs="Tahoma"/>
                <w:noProof/>
                <w:color w:val="5E6D81"/>
                <w:sz w:val="20"/>
                <w:szCs w:val="20"/>
                <w:lang w:eastAsia="ru-RU"/>
              </w:rPr>
              <w:drawing>
                <wp:inline distT="0" distB="0" distL="0" distR="0" wp14:anchorId="4E916BE7" wp14:editId="22A7BFBF">
                  <wp:extent cx="7620000" cy="5724525"/>
                  <wp:effectExtent l="0" t="0" r="0" b="9525"/>
                  <wp:docPr id="1" name="Рисунок 1" descr="https://sun9-48.userapi.com/c857732/v857732695/14765b/Sl0q24wfRQ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8.userapi.com/c857732/v857732695/14765b/Sl0q24wfRQ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2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32A" w:rsidRPr="0070332A" w:rsidRDefault="0070332A" w:rsidP="0070332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  <w:p w:rsidR="0070332A" w:rsidRPr="0070332A" w:rsidRDefault="0070332A" w:rsidP="0070332A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Соотношение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сигареты</w:t>
            </w:r>
          </w:p>
          <w:p w:rsidR="0070332A" w:rsidRPr="0070332A" w:rsidRDefault="0070332A" w:rsidP="0070332A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пакетик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весом 0,3 г содержит 0,5 мг никотина, что соответствует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по крепости легким сигаретам.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пакетик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весом 0,5 г содержит 2 мг никотина, что соответствует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сигаретам средней крепости.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пакетик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весом 1,0 г содержит 3 мг никотина, что соответствует крепким сигаретам</w:t>
            </w:r>
          </w:p>
          <w:p w:rsidR="0070332A" w:rsidRPr="0070332A" w:rsidRDefault="0070332A" w:rsidP="0070332A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Последствия от употребления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</w:p>
          <w:p w:rsidR="0070332A" w:rsidRPr="0070332A" w:rsidRDefault="0070332A" w:rsidP="0070332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содержит 28 известных канцерогенов, включая никель, полоний —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210 (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радиоактивный элемент) и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нитроамины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. Их концентрация превышает в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раз ПДК. По данным исследований ACS (американское добровольное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 xml:space="preserve">общество по борьбе с раком), потребители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в 50 раз чаще болеют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</w:r>
            <w:r w:rsidRPr="0070332A">
              <w:rPr>
                <w:rFonts w:ascii="Times New Roman CYR" w:eastAsia="Times New Roman" w:hAnsi="Times New Roman CYR" w:cs="Tahoma"/>
                <w:b/>
                <w:bCs/>
                <w:color w:val="000000"/>
                <w:sz w:val="20"/>
                <w:szCs w:val="20"/>
                <w:lang w:eastAsia="ru-RU"/>
              </w:rPr>
              <w:t>раком щек, десен и внутренней поверхностью губ.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Тканевые клетки этих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областей делятся в попытке создать барьер табаку, но под влиянием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канцерогенов становятся раковыми.</w:t>
            </w:r>
          </w:p>
          <w:p w:rsidR="0070332A" w:rsidRPr="0070332A" w:rsidRDefault="0070332A" w:rsidP="0070332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Соли натрия, содержащиеся в нем, делают такого человека подверженным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гипертонии. В результате у таких людей в разы увеличиваются шансы на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</w:r>
            <w:r w:rsidRPr="0070332A">
              <w:rPr>
                <w:rFonts w:ascii="Times New Roman CYR" w:eastAsia="Times New Roman" w:hAnsi="Times New Roman CYR" w:cs="Tahoma"/>
                <w:b/>
                <w:bCs/>
                <w:color w:val="000000"/>
                <w:sz w:val="20"/>
                <w:szCs w:val="20"/>
                <w:lang w:eastAsia="ru-RU"/>
              </w:rPr>
              <w:t>инсульты и инфаркты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Поражение органов ЖКТ и рак. Если сигареты главным образом разрушают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 xml:space="preserve">легкие, то основные последствия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ощущают на себе органы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пищеварения. Глотание табачной слюны или случайное проглатывание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пакетика с табаком вызывает серьезные пищевые отравления и расстройства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кишечника, провоцируя </w:t>
            </w:r>
            <w:r w:rsidRPr="0070332A">
              <w:rPr>
                <w:rFonts w:ascii="Times New Roman CYR" w:eastAsia="Times New Roman" w:hAnsi="Times New Roman CYR" w:cs="Tahoma"/>
                <w:b/>
                <w:bCs/>
                <w:color w:val="000000"/>
                <w:sz w:val="20"/>
                <w:szCs w:val="20"/>
                <w:lang w:eastAsia="ru-RU"/>
              </w:rPr>
              <w:t>язву желудка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Никотин, содержащийся в бездымном табаке, отрицательно влияет на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репродуктивную функцию как мужчин, так и женщин.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вызывает перепады уровня сахара в крови, нарушает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углеводный обмен и провоцирует </w:t>
            </w:r>
            <w:r w:rsidRPr="0070332A">
              <w:rPr>
                <w:rFonts w:ascii="Times New Roman CYR" w:eastAsia="Times New Roman" w:hAnsi="Times New Roman CYR" w:cs="Tahoma"/>
                <w:b/>
                <w:bCs/>
                <w:color w:val="000000"/>
                <w:sz w:val="20"/>
                <w:szCs w:val="20"/>
                <w:lang w:eastAsia="ru-RU"/>
              </w:rPr>
              <w:t>сахарный диабет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Разрушительное влияние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на ткани ротовой полости – препарат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обжигает и разрушает нежные слизистые оболочки, вызывая </w:t>
            </w:r>
            <w:r w:rsidRPr="0070332A">
              <w:rPr>
                <w:rFonts w:ascii="Times New Roman CYR" w:eastAsia="Times New Roman" w:hAnsi="Times New Roman CYR" w:cs="Tahoma"/>
                <w:b/>
                <w:bCs/>
                <w:color w:val="000000"/>
                <w:sz w:val="20"/>
                <w:szCs w:val="20"/>
                <w:lang w:eastAsia="ru-RU"/>
              </w:rPr>
              <w:t>язвенные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</w:r>
            <w:r w:rsidRPr="0070332A">
              <w:rPr>
                <w:rFonts w:ascii="Times New Roman CYR" w:eastAsia="Times New Roman" w:hAnsi="Times New Roman CYR" w:cs="Tahoma"/>
                <w:b/>
                <w:bCs/>
                <w:color w:val="000000"/>
                <w:sz w:val="20"/>
                <w:szCs w:val="20"/>
                <w:lang w:eastAsia="ru-RU"/>
              </w:rPr>
              <w:t>поражения десен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.</w:t>
            </w:r>
          </w:p>
          <w:p w:rsidR="0070332A" w:rsidRPr="0070332A" w:rsidRDefault="0070332A" w:rsidP="0070332A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Внешние признаки употребления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70332A" w:rsidRPr="0070332A" w:rsidRDefault="0070332A" w:rsidP="0070332A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Ухудшение дыхательных функций.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Раздражение слизистой оболочки глаз.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Головные боли.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Учащенное сердцебиение.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Заложенность носа.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Першение в горле, кашель.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Раздражительность.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Потеря аппетита.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Головокружение и тошнота.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Ухудшение мыслительных процессов, памяти.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Снижение внимания.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</w:p>
          <w:p w:rsidR="0070332A" w:rsidRPr="0070332A" w:rsidRDefault="0070332A" w:rsidP="0070332A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Симптомы передозировки</w:t>
            </w:r>
          </w:p>
          <w:p w:rsidR="0070332A" w:rsidRPr="0070332A" w:rsidRDefault="0070332A" w:rsidP="0070332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Передозировка от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снюса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 подразделяется на острую легкую, острую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тяжелую и хроническую формы. При легкой форме отравления основные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симптомы – тошнота, головокружение, головная боль, рвота.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Как правило, такое состояние проходит спустя 1-2 дня и не требует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врачебного вмешательства. </w:t>
            </w:r>
            <w:r w:rsidRPr="0070332A">
              <w:rPr>
                <w:rFonts w:ascii="Times New Roman CYR" w:eastAsia="Times New Roman" w:hAnsi="Times New Roman CYR" w:cs="Tahoma"/>
                <w:b/>
                <w:bCs/>
                <w:color w:val="000000"/>
                <w:sz w:val="20"/>
                <w:szCs w:val="20"/>
                <w:lang w:eastAsia="ru-RU"/>
              </w:rPr>
              <w:t>Тяжелая передозировка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более опасна и сопряжена с риском смерти.</w:t>
            </w:r>
          </w:p>
          <w:p w:rsidR="0070332A" w:rsidRPr="0070332A" w:rsidRDefault="0070332A" w:rsidP="0070332A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imes New Roman CYR" w:eastAsia="Times New Roman" w:hAnsi="Times New Roman CYR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Ее проявления:</w:t>
            </w:r>
          </w:p>
          <w:p w:rsidR="0070332A" w:rsidRPr="0070332A" w:rsidRDefault="0070332A" w:rsidP="0070332A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Тошнота, обильная рвота.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Усиленное слюноотделение или сухость во рту.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Боли в животе.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Посинение кожи.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Одышка, учащенное сердцебиение.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Расширение или сужение зрачков.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Тремор конечностей.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Тонико-клонические судороги.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Угнетение сознания.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Слуховые и зрительные галлюцинации, бред.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</w:p>
          <w:p w:rsidR="0070332A" w:rsidRPr="0070332A" w:rsidRDefault="0070332A" w:rsidP="0070332A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Первая помощь употребившему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снюс</w:t>
            </w:r>
            <w:proofErr w:type="spellEnd"/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Если этот факт произошел в учебном заведении, необходимо удалить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учащегося из класса, увести его от одноклассников.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При острой передозировке никотином необходимо обеспечить ребенку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доступ к воздуху – расстегнуть или снять тесную одежду, открыть окно,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 xml:space="preserve">вывести человека на улицу. 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Вызвать скорую медицинскую помощь.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bookmarkStart w:id="0" w:name="_GoBack"/>
            <w:bookmarkEnd w:id="0"/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  <w:p w:rsidR="0070332A" w:rsidRPr="0070332A" w:rsidRDefault="0070332A" w:rsidP="0070332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Рекомендации родителям по профилактике употребления </w:t>
            </w:r>
            <w:proofErr w:type="spellStart"/>
            <w:r w:rsidRPr="0070332A">
              <w:rPr>
                <w:rFonts w:ascii="Times New Roman CYR" w:eastAsia="Times New Roman" w:hAnsi="Times New Roman CYR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снюс</w:t>
            </w:r>
            <w:proofErr w:type="spellEnd"/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</w:p>
          <w:p w:rsidR="0070332A" w:rsidRPr="0070332A" w:rsidRDefault="0070332A" w:rsidP="0070332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Общайтесь с ребенком. Помните, отсутствие общения с вами заставит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ребенка обратиться к другим людям. Но кто они и что ему посоветуют –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вопрос остается открытым! Старайтесь выступать инициатором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откровенного, открытого общения со своим ребенком.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Умейте слушать! Изначально стройте диалог с ребенком в позиции </w:t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Я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мало говорю, я слушаю</w:t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».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Постарайтесь максимально узнать о проблемах и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трудностях своего ребенка. Задавайте вопросы, интересуйтесь, спрашивайте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о возможных способах реагирования в той или иной трудной ситуации.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Уделяйте внимание взглядам, чувствам и эмоциям ребенка. Не спорьте с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ним! Примите его реакцию такой, какой она является: </w:t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Да, так тоже можно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было поступить. А как еще можно было выразить свое настроение, свои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переживания?</w:t>
            </w:r>
            <w:r w:rsidRPr="007033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  <w:p w:rsidR="0070332A" w:rsidRPr="0070332A" w:rsidRDefault="0070332A" w:rsidP="0070332A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Не сравнивайте его с собой, или другими подростками. Не осуждайте.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Ваш ребенок поступил так, как посчитал нужным в тот момент. Помогите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ему найти другие пути решения подобной ситуации, раскройте в нем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возможность размышлять, оценивать.</w:t>
            </w:r>
            <w:r w:rsidRPr="0070332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t>Знайте его компанию. Вы должны быть в курсе, с кем общается ваш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ребенок, интересы его компании, увлечения, манеру общения. Приглашайте</w:t>
            </w:r>
            <w:r w:rsidRPr="0070332A">
              <w:rPr>
                <w:rFonts w:ascii="Times New Roman CYR" w:eastAsia="Times New Roman" w:hAnsi="Times New Roman CYR" w:cs="Tahoma"/>
                <w:color w:val="000000"/>
                <w:sz w:val="20"/>
                <w:szCs w:val="20"/>
                <w:lang w:eastAsia="ru-RU"/>
              </w:rPr>
              <w:br/>
              <w:t>его друзей в гости, тем самым наблюдая, как проходят их беседы.</w:t>
            </w:r>
          </w:p>
        </w:tc>
      </w:tr>
    </w:tbl>
    <w:p w:rsidR="004B580F" w:rsidRDefault="004B580F"/>
    <w:sectPr w:rsidR="004B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9E"/>
    <w:rsid w:val="004B580F"/>
    <w:rsid w:val="0070332A"/>
    <w:rsid w:val="00D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8267"/>
  <w15:chartTrackingRefBased/>
  <w15:docId w15:val="{D2C3E230-94EB-4CF5-A732-782346C7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2020-09-13T10:55:00Z</dcterms:created>
  <dcterms:modified xsi:type="dcterms:W3CDTF">2020-09-13T10:58:00Z</dcterms:modified>
</cp:coreProperties>
</file>